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D07FF79" w14:textId="77777777" w:rsidR="00652D8F" w:rsidRDefault="00000000">
      <w:pPr>
        <w:pStyle w:val="Heading1"/>
        <w:spacing w:after="200"/>
      </w:pPr>
      <w:r>
        <w:rPr>
          <w:b/>
          <w:bCs/>
        </w:rPr>
        <w:t>Using the SES: a guide for journalists and political staff</w:t>
      </w:r>
    </w:p>
    <w:p w14:paraId="38D4F0DF" w14:textId="77777777" w:rsidR="00C97E59" w:rsidRDefault="00C97E59" w:rsidP="00C97E59">
      <w:pPr>
        <w:spacing w:after="160"/>
      </w:pPr>
      <w:r>
        <w:t>The 2026 Scottish Election Study dataset contains a two-wave panel dataset conducted before and after the 2026 Scottish Parliament election.</w:t>
      </w:r>
    </w:p>
    <w:p w14:paraId="1EB23264" w14:textId="77777777" w:rsidR="00652D8F" w:rsidRDefault="00000000">
      <w:pPr>
        <w:pStyle w:val="Heading2"/>
        <w:spacing w:before="200" w:after="120"/>
      </w:pPr>
      <w:r>
        <w:rPr>
          <w:b/>
          <w:bCs/>
        </w:rPr>
        <w:t>What can you do with the SES?</w:t>
      </w:r>
    </w:p>
    <w:p w14:paraId="3543F561" w14:textId="77777777" w:rsidR="00652D8F" w:rsidRDefault="00000000">
      <w:pPr>
        <w:spacing w:after="160"/>
      </w:pPr>
      <w:r>
        <w:t>The assembled variables allow researchers to:</w:t>
      </w:r>
    </w:p>
    <w:p w14:paraId="0B2955EB" w14:textId="77777777" w:rsidR="00652D8F" w:rsidRDefault="00000000">
      <w:pPr>
        <w:pStyle w:val="ListParagraph"/>
        <w:numPr>
          <w:ilvl w:val="0"/>
          <w:numId w:val="2"/>
        </w:numPr>
        <w:spacing w:after="100"/>
      </w:pPr>
      <w:r>
        <w:t>track variation across demographic, socio-economic, political and geographic groups in campaign engagement, support for different constitutional options, trust in political institutions and party leaders, and satisfaction with government performance on the economy, health and education</w:t>
      </w:r>
    </w:p>
    <w:p w14:paraId="4BD1DD61" w14:textId="77777777" w:rsidR="00652D8F" w:rsidRDefault="00000000">
      <w:pPr>
        <w:pStyle w:val="ListParagraph"/>
        <w:numPr>
          <w:ilvl w:val="0"/>
          <w:numId w:val="2"/>
        </w:numPr>
        <w:spacing w:after="100"/>
      </w:pPr>
      <w:r>
        <w:t>identify predictors of vote choice for both the constituency and regional list vote, including vote switching since the 2021 and 2024 elections</w:t>
      </w:r>
    </w:p>
    <w:p w14:paraId="4D26B73E" w14:textId="77777777" w:rsidR="00652D8F" w:rsidRDefault="00000000">
      <w:pPr>
        <w:pStyle w:val="ListParagraph"/>
        <w:numPr>
          <w:ilvl w:val="0"/>
          <w:numId w:val="2"/>
        </w:numPr>
        <w:spacing w:after="100"/>
      </w:pPr>
      <w:r>
        <w:t>identify predictors of voter turnout and of non-voting</w:t>
      </w:r>
    </w:p>
    <w:p w14:paraId="615099AB" w14:textId="77777777" w:rsidR="00652D8F" w:rsidRDefault="00000000">
      <w:pPr>
        <w:pStyle w:val="ListParagraph"/>
        <w:numPr>
          <w:ilvl w:val="0"/>
          <w:numId w:val="2"/>
        </w:numPr>
        <w:spacing w:after="100"/>
      </w:pPr>
      <w:r>
        <w:t>compare pre- and post-election attitudes directly, since the same respondents were interviewed in both waves</w:t>
      </w:r>
    </w:p>
    <w:p w14:paraId="6C240E49" w14:textId="77777777" w:rsidR="00652D8F" w:rsidRDefault="00000000">
      <w:pPr>
        <w:pStyle w:val="ListParagraph"/>
        <w:numPr>
          <w:ilvl w:val="0"/>
          <w:numId w:val="2"/>
        </w:numPr>
        <w:spacing w:after="100"/>
      </w:pPr>
      <w:r>
        <w:t>build a longer pseudo time series by linking respondents to earlier Scottish and British election studies using the unique identifiers included in the dataset (for example w1ID_2024, w1ID_2021 and w1ID_BES)</w:t>
      </w:r>
    </w:p>
    <w:p w14:paraId="3E44E634" w14:textId="77777777" w:rsidR="00652D8F" w:rsidRDefault="00000000">
      <w:pPr>
        <w:spacing w:after="160"/>
      </w:pPr>
      <w:r>
        <w:t>The pre-election wave ran for four weeks before the election and each week has been assigned individual weights.  As a result, researchers can use the data to track how attitudes to the government, vote intention, government approval, political interest, trust or efficacy changed as election day approached.</w:t>
      </w:r>
    </w:p>
    <w:p w14:paraId="74403114" w14:textId="77777777" w:rsidR="00652D8F" w:rsidRDefault="00000000">
      <w:pPr>
        <w:spacing w:after="160"/>
      </w:pPr>
      <w:r>
        <w:t>The dataset can be used by individual researchers who are interested in voting behaviour, political engagement, nationalism, national identity, Scottish and British politics.</w:t>
      </w:r>
    </w:p>
    <w:p w14:paraId="0EA26CCC" w14:textId="77777777" w:rsidR="00652D8F" w:rsidRDefault="00000000">
      <w:pPr>
        <w:pStyle w:val="Heading2"/>
        <w:spacing w:before="200" w:after="120"/>
      </w:pPr>
      <w:r>
        <w:rPr>
          <w:b/>
          <w:bCs/>
        </w:rPr>
        <w:t>Where to find the dataset</w:t>
      </w:r>
    </w:p>
    <w:p w14:paraId="542A6301" w14:textId="77777777" w:rsidR="00C97E59" w:rsidRDefault="00C97E59" w:rsidP="00C97E59">
      <w:pPr>
        <w:spacing w:after="160"/>
      </w:pPr>
      <w:r>
        <w:t xml:space="preserve">All SES data are available via the SES website: </w:t>
      </w:r>
      <w:hyperlink r:id="rId5" w:history="1">
        <w:r w:rsidRPr="00BA299E">
          <w:rPr>
            <w:rStyle w:val="Hyperlink"/>
          </w:rPr>
          <w:t>https://scottishelections.ac.uk/data/</w:t>
        </w:r>
      </w:hyperlink>
      <w:r>
        <w:t xml:space="preserve"> Earlier versions of SES data are also deposited with the UK Data Archive</w:t>
      </w:r>
    </w:p>
    <w:p w14:paraId="5F5C802F" w14:textId="77777777" w:rsidR="00652D8F" w:rsidRDefault="00000000">
      <w:pPr>
        <w:pStyle w:val="Heading2"/>
        <w:spacing w:before="200" w:after="120"/>
      </w:pPr>
      <w:r>
        <w:rPr>
          <w:b/>
          <w:bCs/>
        </w:rPr>
        <w:t>For journalists</w:t>
      </w:r>
    </w:p>
    <w:p w14:paraId="7AAE691B" w14:textId="77777777" w:rsidR="00652D8F" w:rsidRDefault="00000000">
      <w:pPr>
        <w:spacing w:after="160"/>
      </w:pPr>
      <w:r>
        <w:t>The SES gives journalists a representative, weighted check on impressions formed from the campaign trail, doorstep anecdotes or social media, and a running record of how opinion moved across the four-week campaign and into the post-election period. It can be used to:</w:t>
      </w:r>
    </w:p>
    <w:p w14:paraId="10032F71" w14:textId="77E1623F" w:rsidR="00652D8F" w:rsidRDefault="00000000">
      <w:pPr>
        <w:pStyle w:val="ListParagraph"/>
        <w:numPr>
          <w:ilvl w:val="0"/>
          <w:numId w:val="2"/>
        </w:numPr>
        <w:spacing w:after="100"/>
      </w:pPr>
      <w:r>
        <w:t>report on where voters actually got their information during the campaign — television and radio news, print and online newspapers, party leaflets, doorstep contact, social media, messaging apps, AI tools, and online tactical-voting guides — and how this varied by age or constituency</w:t>
      </w:r>
    </w:p>
    <w:p w14:paraId="653FB4A0" w14:textId="77777777" w:rsidR="00652D8F" w:rsidRDefault="00000000">
      <w:pPr>
        <w:pStyle w:val="ListParagraph"/>
        <w:numPr>
          <w:ilvl w:val="0"/>
          <w:numId w:val="2"/>
        </w:numPr>
        <w:spacing w:after="100"/>
      </w:pPr>
      <w:r>
        <w:t>cover the first Scottish election in which voters were asked directly about using AI chatbots to learn about parties or candidates, fact-check a claim, or decide how or whether to vote, and how confident they felt in the neutrality of what they were told</w:t>
      </w:r>
    </w:p>
    <w:p w14:paraId="58014F44" w14:textId="77777777" w:rsidR="00652D8F" w:rsidRDefault="00000000">
      <w:pPr>
        <w:pStyle w:val="ListParagraph"/>
        <w:numPr>
          <w:ilvl w:val="0"/>
          <w:numId w:val="2"/>
        </w:numPr>
        <w:spacing w:after="100"/>
      </w:pPr>
      <w:r>
        <w:t>report the public’s verdict on party leaders — likability ratings for Swinney, Findlay, Sarwar, Cole-Hamilton, Greer, Mackay and Offord, and, separately, for the UK party leaders — rather than relying on impressions from set-piece events</w:t>
      </w:r>
    </w:p>
    <w:p w14:paraId="454AC82F" w14:textId="77777777" w:rsidR="00652D8F" w:rsidRDefault="00000000">
      <w:pPr>
        <w:pStyle w:val="ListParagraph"/>
        <w:numPr>
          <w:ilvl w:val="0"/>
          <w:numId w:val="2"/>
        </w:numPr>
        <w:spacing w:after="100"/>
      </w:pPr>
      <w:r>
        <w:t>report which parties the public trust most on the economy, law and order, health, education and “standing up for Scotland”, since the same battery was asked about all six Holyrood parties</w:t>
      </w:r>
    </w:p>
    <w:p w14:paraId="60EE7CCD" w14:textId="77777777" w:rsidR="00652D8F" w:rsidRDefault="00000000">
      <w:pPr>
        <w:pStyle w:val="ListParagraph"/>
        <w:numPr>
          <w:ilvl w:val="0"/>
          <w:numId w:val="2"/>
        </w:numPr>
        <w:spacing w:after="100"/>
      </w:pPr>
      <w:r>
        <w:t>report whether the public saw each party’s campaign as united or divided, promise-keeping or not, in touch or out of touch, and well or ill intentioned</w:t>
      </w:r>
    </w:p>
    <w:p w14:paraId="3836BA7C" w14:textId="77777777" w:rsidR="00652D8F" w:rsidRDefault="00000000">
      <w:pPr>
        <w:pStyle w:val="ListParagraph"/>
        <w:numPr>
          <w:ilvl w:val="0"/>
          <w:numId w:val="2"/>
        </w:numPr>
        <w:spacing w:after="100"/>
      </w:pPr>
      <w:r>
        <w:t>cover the debate over Scottish Labour’s underperformance using the survey’s direct question on whether voters attributed it to the UK or Scottish leadership</w:t>
      </w:r>
    </w:p>
    <w:p w14:paraId="269D041C" w14:textId="77777777" w:rsidR="00652D8F" w:rsidRDefault="00000000">
      <w:pPr>
        <w:pStyle w:val="ListParagraph"/>
        <w:numPr>
          <w:ilvl w:val="0"/>
          <w:numId w:val="2"/>
        </w:numPr>
        <w:spacing w:after="100"/>
      </w:pPr>
      <w:r>
        <w:t>report public attribution of blame for the state of the economy, the NHS, education and law and order between the Scottish and UK governments</w:t>
      </w:r>
    </w:p>
    <w:p w14:paraId="70B37093" w14:textId="77777777" w:rsidR="00652D8F" w:rsidRDefault="00000000">
      <w:pPr>
        <w:pStyle w:val="ListParagraph"/>
        <w:numPr>
          <w:ilvl w:val="0"/>
          <w:numId w:val="2"/>
        </w:numPr>
        <w:spacing w:after="100"/>
      </w:pPr>
      <w:r>
        <w:lastRenderedPageBreak/>
        <w:t>gauge whether people felt the campaign itself mattered — whether it helped them decide, felt informative, or felt like parties were largely invisible — and how they reacted to the volume of polling coverage</w:t>
      </w:r>
    </w:p>
    <w:p w14:paraId="2EF29F67" w14:textId="77777777" w:rsidR="00652D8F" w:rsidRDefault="00000000">
      <w:pPr>
        <w:pStyle w:val="ListParagraph"/>
        <w:numPr>
          <w:ilvl w:val="0"/>
          <w:numId w:val="2"/>
        </w:numPr>
        <w:spacing w:after="100"/>
      </w:pPr>
      <w:r>
        <w:t>report the public mood immediately after the results, using the open-ended question on how people felt looking back on election night</w:t>
      </w:r>
    </w:p>
    <w:p w14:paraId="2CDA10C1" w14:textId="77777777" w:rsidR="00652D8F" w:rsidRDefault="00000000">
      <w:pPr>
        <w:pStyle w:val="ListParagraph"/>
        <w:numPr>
          <w:ilvl w:val="0"/>
          <w:numId w:val="2"/>
        </w:numPr>
        <w:spacing w:after="100"/>
      </w:pPr>
      <w:r>
        <w:t>report on the most important issues facing Scotland, the UK and voters’ local areas, and which party the public thought was best placed to handle each</w:t>
      </w:r>
    </w:p>
    <w:p w14:paraId="44C189E4" w14:textId="77777777" w:rsidR="00652D8F" w:rsidRDefault="00000000">
      <w:pPr>
        <w:pStyle w:val="ListParagraph"/>
        <w:numPr>
          <w:ilvl w:val="0"/>
          <w:numId w:val="2"/>
        </w:numPr>
        <w:spacing w:after="100"/>
      </w:pPr>
      <w:r>
        <w:t>report on a genuine question-wording experiment on the perceived mandate for a second independence referendum, which tested how far telling people the SNP won without a majority, or that pro-independence parties won a majority of seats, changed perceptions of that mandate</w:t>
      </w:r>
    </w:p>
    <w:p w14:paraId="4FD3B822" w14:textId="77777777" w:rsidR="00652D8F" w:rsidRDefault="00000000">
      <w:pPr>
        <w:pStyle w:val="Heading2"/>
        <w:spacing w:before="200" w:after="120"/>
      </w:pPr>
      <w:r>
        <w:rPr>
          <w:b/>
          <w:bCs/>
        </w:rPr>
        <w:t>For political staffers and politicians</w:t>
      </w:r>
    </w:p>
    <w:p w14:paraId="084BD50F" w14:textId="77777777" w:rsidR="00652D8F" w:rsidRDefault="00000000">
      <w:pPr>
        <w:spacing w:after="160"/>
      </w:pPr>
      <w:r>
        <w:t>Because the SES asks the same competence, image and campaign-contact questions about all of the main parties, it supports genuine competitor benchmarking rather than single-party polling. It can be used to:</w:t>
      </w:r>
    </w:p>
    <w:p w14:paraId="603958B8" w14:textId="77777777" w:rsidR="00652D8F" w:rsidRDefault="00000000">
      <w:pPr>
        <w:pStyle w:val="ListParagraph"/>
        <w:numPr>
          <w:ilvl w:val="0"/>
          <w:numId w:val="2"/>
        </w:numPr>
        <w:spacing w:after="100"/>
      </w:pPr>
      <w:r>
        <w:t>benchmark your party against competitors on trust in handling the economy, law and order, health, education and “standing up for Scotland”</w:t>
      </w:r>
    </w:p>
    <w:p w14:paraId="130D747F" w14:textId="77777777" w:rsidR="00652D8F" w:rsidRDefault="00000000">
      <w:pPr>
        <w:pStyle w:val="ListParagraph"/>
        <w:numPr>
          <w:ilvl w:val="0"/>
          <w:numId w:val="2"/>
        </w:numPr>
        <w:spacing w:after="100"/>
      </w:pPr>
      <w:r>
        <w:t>see which groups — working-class people, higher-rate taxpayers, business owners, young people, rural residents, women — the public thinks your party and its competitors actually serve, to inform message targeting and coalition-building</w:t>
      </w:r>
    </w:p>
    <w:p w14:paraId="063AE3F6" w14:textId="77777777" w:rsidR="00652D8F" w:rsidRDefault="00000000">
      <w:pPr>
        <w:pStyle w:val="ListParagraph"/>
        <w:numPr>
          <w:ilvl w:val="0"/>
          <w:numId w:val="2"/>
        </w:numPr>
        <w:spacing w:after="100"/>
      </w:pPr>
      <w:r>
        <w:t>check how your party is perceived on unity, promise-keeping, being in touch, and good intentions, and compare this with rival parties, to inform message discipline and rebuttal strategy</w:t>
      </w:r>
    </w:p>
    <w:p w14:paraId="1C481435" w14:textId="77777777" w:rsidR="00652D8F" w:rsidRDefault="00000000">
      <w:pPr>
        <w:pStyle w:val="ListParagraph"/>
        <w:numPr>
          <w:ilvl w:val="0"/>
          <w:numId w:val="2"/>
        </w:numPr>
        <w:spacing w:after="100"/>
      </w:pPr>
      <w:r>
        <w:t>evaluate which channels of campaign contact — leaflets, doorstep visits, street stalls, text messages, social media — voters recall receiving from each party, and from whom, to inform field and digital campaign planning</w:t>
      </w:r>
    </w:p>
    <w:p w14:paraId="143C05CE" w14:textId="77777777" w:rsidR="00652D8F" w:rsidRDefault="00000000">
      <w:pPr>
        <w:pStyle w:val="ListParagraph"/>
        <w:numPr>
          <w:ilvl w:val="0"/>
          <w:numId w:val="2"/>
        </w:numPr>
        <w:spacing w:after="100"/>
      </w:pPr>
      <w:r>
        <w:t>see where the voters you need actually get their information, including whether they used AI tools or online tactical-voting guides, to inform channel strategy</w:t>
      </w:r>
    </w:p>
    <w:p w14:paraId="5DB76D6D" w14:textId="77777777" w:rsidR="00652D8F" w:rsidRDefault="00000000">
      <w:pPr>
        <w:pStyle w:val="ListParagraph"/>
        <w:numPr>
          <w:ilvl w:val="0"/>
          <w:numId w:val="2"/>
        </w:numPr>
        <w:spacing w:after="100"/>
      </w:pPr>
      <w:r>
        <w:t>use the tactical-voting questions — which party someone really wanted to win versus which party they voted for to stop another winning — to understand where your vote share is being squeezed and by whom</w:t>
      </w:r>
    </w:p>
    <w:p w14:paraId="60EDD446" w14:textId="77777777" w:rsidR="00652D8F" w:rsidRDefault="00000000">
      <w:pPr>
        <w:pStyle w:val="ListParagraph"/>
        <w:numPr>
          <w:ilvl w:val="0"/>
          <w:numId w:val="2"/>
        </w:numPr>
        <w:spacing w:after="100"/>
      </w:pPr>
      <w:r>
        <w:t>use the panel’s links to 2021, 2024 and earlier SES waves to identify which voters switched, to whom, and analyse the demographic and attitudinal profile of switchers and waverers</w:t>
      </w:r>
    </w:p>
    <w:p w14:paraId="1EF56DEE" w14:textId="77777777" w:rsidR="00652D8F" w:rsidRDefault="00000000">
      <w:pPr>
        <w:pStyle w:val="ListParagraph"/>
        <w:numPr>
          <w:ilvl w:val="0"/>
          <w:numId w:val="2"/>
        </w:numPr>
        <w:spacing w:after="100"/>
      </w:pPr>
      <w:r>
        <w:t>use the independence-mandate question-wording experiment directly: it tests which framing of the 2026 result — an SNP majority, an SNP plurality, or a pro-independence majority of seats — produces the strongest perceived mandate, which speaks directly to post-election messaging choices</w:t>
      </w:r>
    </w:p>
    <w:p w14:paraId="4886F789" w14:textId="77777777" w:rsidR="00652D8F" w:rsidRDefault="00000000">
      <w:pPr>
        <w:pStyle w:val="ListParagraph"/>
        <w:numPr>
          <w:ilvl w:val="0"/>
          <w:numId w:val="2"/>
        </w:numPr>
        <w:spacing w:after="100"/>
      </w:pPr>
      <w:r>
        <w:t>track which issues the public rated most important nationally, in the UK, and locally, and which party they credited as best able to handle each, to inform issue prioritisation</w:t>
      </w:r>
    </w:p>
    <w:p w14:paraId="7CD325D2" w14:textId="77777777" w:rsidR="00652D8F" w:rsidRDefault="00000000">
      <w:pPr>
        <w:pStyle w:val="ListParagraph"/>
        <w:numPr>
          <w:ilvl w:val="0"/>
          <w:numId w:val="2"/>
        </w:numPr>
        <w:spacing w:after="100"/>
      </w:pPr>
      <w:r>
        <w:t>assess the reach and perceived impact of set-piece campaign moments such as the televised leaders’ debates and leader visits to constituencies</w:t>
      </w:r>
    </w:p>
    <w:sectPr w:rsidR="00652D8F">
      <w:pgSz w:w="11906" w:h="16838"/>
      <w:pgMar w:top="1440" w:right="1440" w:bottom="1440" w:left="1440" w:header="708" w:footer="708"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73FC5C50"/>
    <w:multiLevelType w:val="hybridMultilevel"/>
    <w:tmpl w:val="5A12BEBA"/>
    <w:lvl w:ilvl="0" w:tplc="9096728C">
      <w:start w:val="1"/>
      <w:numFmt w:val="bullet"/>
      <w:lvlText w:val="•"/>
      <w:lvlJc w:val="left"/>
      <w:pPr>
        <w:ind w:left="720" w:hanging="360"/>
      </w:pPr>
    </w:lvl>
    <w:lvl w:ilvl="1" w:tplc="C394843C">
      <w:numFmt w:val="decimal"/>
      <w:lvlText w:val=""/>
      <w:lvlJc w:val="left"/>
    </w:lvl>
    <w:lvl w:ilvl="2" w:tplc="88C44900">
      <w:numFmt w:val="decimal"/>
      <w:lvlText w:val=""/>
      <w:lvlJc w:val="left"/>
    </w:lvl>
    <w:lvl w:ilvl="3" w:tplc="F8044386">
      <w:numFmt w:val="decimal"/>
      <w:lvlText w:val=""/>
      <w:lvlJc w:val="left"/>
    </w:lvl>
    <w:lvl w:ilvl="4" w:tplc="FE7A5CC0">
      <w:numFmt w:val="decimal"/>
      <w:lvlText w:val=""/>
      <w:lvlJc w:val="left"/>
    </w:lvl>
    <w:lvl w:ilvl="5" w:tplc="C7DE422A">
      <w:numFmt w:val="decimal"/>
      <w:lvlText w:val=""/>
      <w:lvlJc w:val="left"/>
    </w:lvl>
    <w:lvl w:ilvl="6" w:tplc="BB286318">
      <w:numFmt w:val="decimal"/>
      <w:lvlText w:val=""/>
      <w:lvlJc w:val="left"/>
    </w:lvl>
    <w:lvl w:ilvl="7" w:tplc="0F4652AE">
      <w:numFmt w:val="decimal"/>
      <w:lvlText w:val=""/>
      <w:lvlJc w:val="left"/>
    </w:lvl>
    <w:lvl w:ilvl="8" w:tplc="51942FCE">
      <w:numFmt w:val="decimal"/>
      <w:lvlText w:val=""/>
      <w:lvlJc w:val="left"/>
    </w:lvl>
  </w:abstractNum>
  <w:abstractNum w:abstractNumId="1" w15:restartNumberingAfterBreak="0">
    <w:nsid w:val="746650B3"/>
    <w:multiLevelType w:val="hybridMultilevel"/>
    <w:tmpl w:val="5D7A6FD8"/>
    <w:lvl w:ilvl="0" w:tplc="0C62707E">
      <w:start w:val="1"/>
      <w:numFmt w:val="bullet"/>
      <w:lvlText w:val="●"/>
      <w:lvlJc w:val="left"/>
      <w:pPr>
        <w:ind w:left="720" w:hanging="360"/>
      </w:pPr>
    </w:lvl>
    <w:lvl w:ilvl="1" w:tplc="0E7ADA82">
      <w:start w:val="1"/>
      <w:numFmt w:val="bullet"/>
      <w:lvlText w:val="○"/>
      <w:lvlJc w:val="left"/>
      <w:pPr>
        <w:ind w:left="1440" w:hanging="360"/>
      </w:pPr>
    </w:lvl>
    <w:lvl w:ilvl="2" w:tplc="40A6B51C">
      <w:start w:val="1"/>
      <w:numFmt w:val="bullet"/>
      <w:lvlText w:val="■"/>
      <w:lvlJc w:val="left"/>
      <w:pPr>
        <w:ind w:left="2160" w:hanging="360"/>
      </w:pPr>
    </w:lvl>
    <w:lvl w:ilvl="3" w:tplc="86C2560E">
      <w:start w:val="1"/>
      <w:numFmt w:val="bullet"/>
      <w:lvlText w:val="●"/>
      <w:lvlJc w:val="left"/>
      <w:pPr>
        <w:ind w:left="2880" w:hanging="360"/>
      </w:pPr>
    </w:lvl>
    <w:lvl w:ilvl="4" w:tplc="E00A7E16">
      <w:start w:val="1"/>
      <w:numFmt w:val="bullet"/>
      <w:lvlText w:val="○"/>
      <w:lvlJc w:val="left"/>
      <w:pPr>
        <w:ind w:left="3600" w:hanging="360"/>
      </w:pPr>
    </w:lvl>
    <w:lvl w:ilvl="5" w:tplc="7E90DE88">
      <w:start w:val="1"/>
      <w:numFmt w:val="bullet"/>
      <w:lvlText w:val="■"/>
      <w:lvlJc w:val="left"/>
      <w:pPr>
        <w:ind w:left="4320" w:hanging="360"/>
      </w:pPr>
    </w:lvl>
    <w:lvl w:ilvl="6" w:tplc="ADFC0AB0">
      <w:start w:val="1"/>
      <w:numFmt w:val="bullet"/>
      <w:lvlText w:val="●"/>
      <w:lvlJc w:val="left"/>
      <w:pPr>
        <w:ind w:left="5040" w:hanging="360"/>
      </w:pPr>
    </w:lvl>
    <w:lvl w:ilvl="7" w:tplc="4738C208">
      <w:start w:val="1"/>
      <w:numFmt w:val="bullet"/>
      <w:lvlText w:val="●"/>
      <w:lvlJc w:val="left"/>
      <w:pPr>
        <w:ind w:left="5760" w:hanging="360"/>
      </w:pPr>
    </w:lvl>
    <w:lvl w:ilvl="8" w:tplc="334403D0">
      <w:start w:val="1"/>
      <w:numFmt w:val="bullet"/>
      <w:lvlText w:val="●"/>
      <w:lvlJc w:val="left"/>
      <w:pPr>
        <w:ind w:left="6480" w:hanging="360"/>
      </w:pPr>
    </w:lvl>
  </w:abstractNum>
  <w:num w:numId="1" w16cid:durableId="274099063">
    <w:abstractNumId w:val="1"/>
    <w:lvlOverride w:ilvl="0">
      <w:startOverride w:val="1"/>
    </w:lvlOverride>
  </w:num>
  <w:num w:numId="2" w16cid:durableId="1750275365">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isplayBackgroundShape/>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52D8F"/>
    <w:rsid w:val="00652D8F"/>
    <w:rsid w:val="00652F4B"/>
    <w:rsid w:val="00C97E5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83F5256"/>
  <w15:docId w15:val="{D2EC31B1-47B0-491E-A1AE-0E641AAC04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uiPriority w:val="9"/>
    <w:qFormat/>
    <w:pPr>
      <w:outlineLvl w:val="0"/>
    </w:pPr>
    <w:rPr>
      <w:color w:val="2E74B5"/>
      <w:sz w:val="32"/>
      <w:szCs w:val="32"/>
    </w:rPr>
  </w:style>
  <w:style w:type="paragraph" w:styleId="Heading2">
    <w:name w:val="heading 2"/>
    <w:uiPriority w:val="9"/>
    <w:unhideWhenUsed/>
    <w:qFormat/>
    <w:pPr>
      <w:outlineLvl w:val="1"/>
    </w:pPr>
    <w:rPr>
      <w:color w:val="2E74B5"/>
      <w:sz w:val="26"/>
      <w:szCs w:val="26"/>
    </w:rPr>
  </w:style>
  <w:style w:type="paragraph" w:styleId="Heading3">
    <w:name w:val="heading 3"/>
    <w:uiPriority w:val="9"/>
    <w:semiHidden/>
    <w:unhideWhenUsed/>
    <w:qFormat/>
    <w:pPr>
      <w:outlineLvl w:val="2"/>
    </w:pPr>
    <w:rPr>
      <w:color w:val="1F4D78"/>
      <w:sz w:val="24"/>
      <w:szCs w:val="24"/>
    </w:rPr>
  </w:style>
  <w:style w:type="paragraph" w:styleId="Heading4">
    <w:name w:val="heading 4"/>
    <w:uiPriority w:val="9"/>
    <w:semiHidden/>
    <w:unhideWhenUsed/>
    <w:qFormat/>
    <w:pPr>
      <w:outlineLvl w:val="3"/>
    </w:pPr>
    <w:rPr>
      <w:i/>
      <w:iCs/>
      <w:color w:val="2E74B5"/>
    </w:rPr>
  </w:style>
  <w:style w:type="paragraph" w:styleId="Heading5">
    <w:name w:val="heading 5"/>
    <w:uiPriority w:val="9"/>
    <w:semiHidden/>
    <w:unhideWhenUsed/>
    <w:qFormat/>
    <w:pPr>
      <w:outlineLvl w:val="4"/>
    </w:pPr>
    <w:rPr>
      <w:color w:val="2E74B5"/>
    </w:rPr>
  </w:style>
  <w:style w:type="paragraph" w:styleId="Heading6">
    <w:name w:val="heading 6"/>
    <w:uiPriority w:val="9"/>
    <w:semiHidden/>
    <w:unhideWhenUsed/>
    <w:qFormat/>
    <w:pPr>
      <w:outlineLvl w:val="5"/>
    </w:pPr>
    <w:rPr>
      <w:color w:val="1F4D7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uiPriority w:val="10"/>
    <w:qFormat/>
    <w:rPr>
      <w:sz w:val="56"/>
      <w:szCs w:val="56"/>
    </w:rPr>
  </w:style>
  <w:style w:type="paragraph" w:customStyle="1" w:styleId="Strong1">
    <w:name w:val="Strong1"/>
    <w:qFormat/>
    <w:rPr>
      <w:b/>
      <w:bCs/>
    </w:rPr>
  </w:style>
  <w:style w:type="paragraph" w:styleId="ListParagraph">
    <w:name w:val="List Paragraph"/>
    <w:qFormat/>
  </w:style>
  <w:style w:type="character" w:styleId="Hyperlink">
    <w:name w:val="Hyperlink"/>
    <w:uiPriority w:val="99"/>
    <w:unhideWhenUsed/>
    <w:rPr>
      <w:color w:val="0563C1"/>
      <w:u w:val="single"/>
    </w:rPr>
  </w:style>
  <w:style w:type="character" w:styleId="FootnoteReference">
    <w:name w:val="footnote reference"/>
    <w:uiPriority w:val="99"/>
    <w:semiHidden/>
    <w:unhideWhenUsed/>
    <w:rPr>
      <w:vertAlign w:val="superscript"/>
    </w:rPr>
  </w:style>
  <w:style w:type="paragraph" w:styleId="FootnoteText">
    <w:name w:val="footnote text"/>
    <w:link w:val="FootnoteTextChar"/>
    <w:uiPriority w:val="99"/>
    <w:semiHidden/>
    <w:unhideWhenUsed/>
  </w:style>
  <w:style w:type="character" w:customStyle="1" w:styleId="FootnoteTextChar">
    <w:name w:val="Footnote Text Char"/>
    <w:link w:val="FootnoteText"/>
    <w:uiPriority w:val="99"/>
    <w:semiHidden/>
    <w:unhideWhenUsed/>
    <w:rPr>
      <w:sz w:val="20"/>
      <w:szCs w:val="20"/>
    </w:rPr>
  </w:style>
  <w:style w:type="character" w:styleId="EndnoteReference">
    <w:name w:val="endnote reference"/>
    <w:uiPriority w:val="99"/>
    <w:semiHidden/>
    <w:unhideWhenUsed/>
    <w:rPr>
      <w:vertAlign w:val="superscript"/>
    </w:rPr>
  </w:style>
  <w:style w:type="paragraph" w:styleId="EndnoteText">
    <w:name w:val="endnote text"/>
    <w:link w:val="EndnoteTextChar"/>
    <w:uiPriority w:val="99"/>
    <w:semiHidden/>
    <w:unhideWhenUsed/>
  </w:style>
  <w:style w:type="character" w:customStyle="1" w:styleId="EndnoteTextChar">
    <w:name w:val="Endnote Text Char"/>
    <w:link w:val="EndnoteText"/>
    <w:uiPriority w:val="99"/>
    <w:semiHidden/>
    <w:unhideWhenUsed/>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s://scottishelections.ac.uk/data/"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961</Words>
  <Characters>5481</Characters>
  <Application>Microsoft Office Word</Application>
  <DocSecurity>0</DocSecurity>
  <Lines>45</Lines>
  <Paragraphs>12</Paragraphs>
  <ScaleCrop>false</ScaleCrop>
  <Company>University of Edinburgh</Company>
  <LinksUpToDate>false</LinksUpToDate>
  <CharactersWithSpaces>6430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Ailsa Henderson</cp:lastModifiedBy>
  <cp:revision>2</cp:revision>
  <dcterms:created xsi:type="dcterms:W3CDTF">2026-08-31T12:48:00Z</dcterms:created>
  <dcterms:modified xsi:type="dcterms:W3CDTF">2026-08-31T12:48:00Z</dcterms:modified>
</cp:coreProperties>
</file>