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5891" w14:textId="77777777" w:rsidR="003A18A6" w:rsidRDefault="00000000">
      <w:pPr>
        <w:pStyle w:val="Heading1"/>
        <w:spacing w:after="200"/>
      </w:pPr>
      <w:r>
        <w:rPr>
          <w:b/>
          <w:bCs/>
        </w:rPr>
        <w:t>Using the SES: a guide for researchers</w:t>
      </w:r>
    </w:p>
    <w:p w14:paraId="41FFB0EE" w14:textId="0BD4A27B" w:rsidR="003A18A6" w:rsidRDefault="00000000">
      <w:pPr>
        <w:spacing w:after="160"/>
      </w:pPr>
      <w:r>
        <w:t xml:space="preserve">The </w:t>
      </w:r>
      <w:r w:rsidR="0041672D">
        <w:t xml:space="preserve">2026 Scottish Election Study </w:t>
      </w:r>
      <w:r>
        <w:t xml:space="preserve">dataset contains a two-wave panel dataset conducted before and after the 2026 </w:t>
      </w:r>
      <w:r w:rsidR="0041672D">
        <w:t xml:space="preserve">Scottish Parliament </w:t>
      </w:r>
      <w:r>
        <w:t>election.</w:t>
      </w:r>
    </w:p>
    <w:p w14:paraId="093376DA" w14:textId="77777777" w:rsidR="003A18A6" w:rsidRDefault="00000000">
      <w:pPr>
        <w:pStyle w:val="Heading2"/>
        <w:spacing w:before="200" w:after="120"/>
      </w:pPr>
      <w:r>
        <w:rPr>
          <w:b/>
          <w:bCs/>
        </w:rPr>
        <w:t>What can you do with the SES?</w:t>
      </w:r>
    </w:p>
    <w:p w14:paraId="16633B40" w14:textId="77777777" w:rsidR="003A18A6" w:rsidRDefault="00000000">
      <w:pPr>
        <w:spacing w:after="160"/>
      </w:pPr>
      <w:r>
        <w:t>The assembled variables allow researchers to:</w:t>
      </w:r>
    </w:p>
    <w:p w14:paraId="77E4C69C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track variation across demographic, socio-economic, political and geographic groups in campaign engagement, support for different constitutional options, trust in political institutions and party leaders, and satisfaction with government performance on the economy, health and education</w:t>
      </w:r>
    </w:p>
    <w:p w14:paraId="1EA45000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identify predictors of vote choice for both the constituency and regional list vote, including vote switching since the 2021 and 2024 elections</w:t>
      </w:r>
    </w:p>
    <w:p w14:paraId="209DD742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identify predictors of voter turnout and of non-voting</w:t>
      </w:r>
    </w:p>
    <w:p w14:paraId="6257CED9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compare pre- and post-election attitudes directly, since the same respondents were interviewed in both waves</w:t>
      </w:r>
    </w:p>
    <w:p w14:paraId="5DA74CCC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build a longer pseudo time series by linking respondents to earlier Scottish and British election studies using the unique identifiers included in the dataset (for example w1ID_2024, w1ID_2021 and w1ID_BES)</w:t>
      </w:r>
    </w:p>
    <w:p w14:paraId="763A1283" w14:textId="77777777" w:rsidR="003A18A6" w:rsidRDefault="00000000">
      <w:pPr>
        <w:spacing w:after="160"/>
      </w:pPr>
      <w:r>
        <w:t>The pre-election wave ran for four weeks before the election and each week has been assigned individual weights.  As a result, researchers can use the data to track how attitudes to the government, vote intention, government approval, political interest, trust or efficacy changed as election day approached.</w:t>
      </w:r>
    </w:p>
    <w:p w14:paraId="2CE514B7" w14:textId="77777777" w:rsidR="003A18A6" w:rsidRDefault="00000000">
      <w:pPr>
        <w:spacing w:after="160"/>
      </w:pPr>
      <w:r>
        <w:t>The dataset can be used by individual researchers who are interested in voting behaviour, political engagement, nationalism, national identity, Scottish and British politics.</w:t>
      </w:r>
    </w:p>
    <w:p w14:paraId="53A49A27" w14:textId="77777777" w:rsidR="003A18A6" w:rsidRDefault="00000000">
      <w:pPr>
        <w:pStyle w:val="Heading2"/>
        <w:spacing w:before="200" w:after="120"/>
      </w:pPr>
      <w:r>
        <w:rPr>
          <w:b/>
          <w:bCs/>
        </w:rPr>
        <w:t>Where to find the dataset</w:t>
      </w:r>
    </w:p>
    <w:p w14:paraId="5AEF8B03" w14:textId="174D5AF6" w:rsidR="0041672D" w:rsidRDefault="0041672D">
      <w:pPr>
        <w:spacing w:after="160"/>
      </w:pPr>
      <w:r>
        <w:t xml:space="preserve">All SES data are available via the SES website: </w:t>
      </w:r>
      <w:hyperlink r:id="rId5" w:history="1">
        <w:r w:rsidRPr="00BA299E">
          <w:rPr>
            <w:rStyle w:val="Hyperlink"/>
          </w:rPr>
          <w:t>https://scottishelections.ac.uk/data/</w:t>
        </w:r>
      </w:hyperlink>
      <w:r>
        <w:t xml:space="preserve"> Earlier versions of SES data are also deposited with the UK Data Archive</w:t>
      </w:r>
    </w:p>
    <w:p w14:paraId="50CDBFE7" w14:textId="77777777" w:rsidR="003A18A6" w:rsidRDefault="00000000">
      <w:pPr>
        <w:pStyle w:val="Heading2"/>
        <w:spacing w:before="200" w:after="120"/>
      </w:pPr>
      <w:r>
        <w:rPr>
          <w:b/>
          <w:bCs/>
        </w:rPr>
        <w:t>For researchers</w:t>
      </w:r>
    </w:p>
    <w:p w14:paraId="0047F2E3" w14:textId="77777777" w:rsidR="003A18A6" w:rsidRDefault="00000000">
      <w:pPr>
        <w:spacing w:after="160"/>
      </w:pPr>
      <w:r>
        <w:t>Beyond the general uses outlined above, the SES’s design supports work that goes beyond descriptive analysis of a single election. In particular, researchers can:</w:t>
      </w:r>
    </w:p>
    <w:p w14:paraId="633DAC81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test spatial/proximity models of voting using directly comparable self-versus-party placements on left-right, tax-and-spend, growth-versus-environment, and a 0–10 scale running from abolishing the Scottish Parliament to independence, for the SNP, Scottish Labour and Reform UK Scotland</w:t>
      </w:r>
    </w:p>
    <w:p w14:paraId="500FB9FD" w14:textId="2A50FF3B" w:rsidR="003A18A6" w:rsidRDefault="00000000">
      <w:pPr>
        <w:pStyle w:val="ListParagraph"/>
        <w:numPr>
          <w:ilvl w:val="0"/>
          <w:numId w:val="2"/>
        </w:numPr>
        <w:spacing w:after="100"/>
      </w:pPr>
      <w:r>
        <w:t xml:space="preserve">study national identity as a driver of vote choice and turnout using </w:t>
      </w:r>
      <w:r w:rsidR="0041672D">
        <w:t xml:space="preserve">various national identity measures, including </w:t>
      </w:r>
      <w:r>
        <w:t xml:space="preserve">Moreno-style </w:t>
      </w:r>
      <w:r w:rsidR="0041672D">
        <w:t xml:space="preserve">and strength variables, </w:t>
      </w:r>
      <w:proofErr w:type="spellStart"/>
      <w:r w:rsidR="0041672D">
        <w:t>along side</w:t>
      </w:r>
      <w:proofErr w:type="spellEnd"/>
      <w:r w:rsidR="0041672D">
        <w:t xml:space="preserve"> </w:t>
      </w:r>
      <w:r>
        <w:t>Yes/No independence identity question</w:t>
      </w:r>
      <w:r w:rsidR="0041672D">
        <w:t>s</w:t>
      </w:r>
      <w:r>
        <w:t xml:space="preserve"> and strength follow-up</w:t>
      </w:r>
      <w:r w:rsidR="0041672D">
        <w:t>s</w:t>
      </w:r>
      <w:r>
        <w:t>, alongside a parallel Leaver/Remainer Brexit identity question and strength follow-up</w:t>
      </w:r>
    </w:p>
    <w:p w14:paraId="065F0112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test second-order election and multilevel-voting theories directly, since respondents were asked whether their Holyrood vote was driven mainly by Scottish considerations, UK-wide considerations, or (in Wave 2) the Scotland–UK relationship specifically</w:t>
      </w:r>
    </w:p>
    <w:p w14:paraId="05B8C112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exploit several embedded experiments for causal analysis: a three-arm question-wording experiment on the perceived mandate for a second independence referendum; the randomised assignment of which additional party’s “group interest” battery a respondent received; randomised additional favourability ratings for independence and union supporters; and the randomised fourth party in the open-ended “three words to describe this party” battery</w:t>
      </w:r>
    </w:p>
    <w:p w14:paraId="1CB4DDDC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study affective and anti-compromise polarisation using the statement on MSPs who compromise with parties they disagree with</w:t>
      </w:r>
    </w:p>
    <w:p w14:paraId="61B00568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analyse genuine within-campaign dynamics rather than a single snapshot, since Wave 1 was released in four weekly tranches with tranche-specific weights, and compare pre- and post-election attitudes directly using the same respondents in both waves</w:t>
      </w:r>
    </w:p>
    <w:p w14:paraId="38CC415F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lastRenderedPageBreak/>
        <w:t>build a longer mixed cross-sectional/longitudinal design by linking consenting respondents to the 2024, 2021, 2019, 2016, 2014, 2011 and 2007 Scottish and British election surveys via the unique identifiers included in the dataset</w:t>
      </w:r>
    </w:p>
    <w:p w14:paraId="0EF4A425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study panel attrition and non-response directly, since retention between waves is documented by routing group and the merge indicator distinguishes Wave 1-only from both-wave respondents</w:t>
      </w:r>
    </w:p>
    <w:p w14:paraId="5A49CF9E" w14:textId="77777777" w:rsidR="003A18A6" w:rsidRDefault="00000000">
      <w:pPr>
        <w:pStyle w:val="ListParagraph"/>
        <w:numPr>
          <w:ilvl w:val="0"/>
          <w:numId w:val="2"/>
        </w:numPr>
        <w:spacing w:after="100"/>
      </w:pPr>
      <w:r>
        <w:t>study tactical voting and split-ticket behaviour using the separately asked constituency and list vote reasons, the “which party did you vote for to stop” items, and the derived constituency/list alignment recodes</w:t>
      </w:r>
    </w:p>
    <w:p w14:paraId="01099572" w14:textId="2F14E37C" w:rsidR="0041672D" w:rsidRDefault="0041672D" w:rsidP="0041672D">
      <w:pPr>
        <w:pStyle w:val="Heading2"/>
        <w:spacing w:before="200" w:after="120"/>
      </w:pPr>
      <w:r>
        <w:rPr>
          <w:b/>
          <w:bCs/>
        </w:rPr>
        <w:t>Shaping future surveys</w:t>
      </w:r>
    </w:p>
    <w:p w14:paraId="60B71DF4" w14:textId="50A40B07" w:rsidR="0041672D" w:rsidRDefault="0041672D" w:rsidP="0041672D">
      <w:pPr>
        <w:spacing w:after="160"/>
      </w:pPr>
      <w:r>
        <w:t>The SES team reserves dedicated space in SES surveys – both the p/</w:t>
      </w:r>
      <w:proofErr w:type="spellStart"/>
      <w:r>
        <w:t>post election</w:t>
      </w:r>
      <w:proofErr w:type="spellEnd"/>
      <w:r>
        <w:t xml:space="preserve"> surveys and the regular SCOOP monitor polls in February, June and October each year – for researchers, with ringfenced space for early career researchers. If you need data for dissertations or pilot studies please do contact us with question proposals.</w:t>
      </w:r>
    </w:p>
    <w:p w14:paraId="6EACEF09" w14:textId="77777777" w:rsidR="0041672D" w:rsidRDefault="0041672D" w:rsidP="0041672D">
      <w:pPr>
        <w:spacing w:after="100"/>
      </w:pPr>
    </w:p>
    <w:sectPr w:rsidR="0041672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B2B84"/>
    <w:multiLevelType w:val="hybridMultilevel"/>
    <w:tmpl w:val="366062A8"/>
    <w:lvl w:ilvl="0" w:tplc="24866D1E">
      <w:start w:val="1"/>
      <w:numFmt w:val="bullet"/>
      <w:lvlText w:val="•"/>
      <w:lvlJc w:val="left"/>
      <w:pPr>
        <w:ind w:left="720" w:hanging="360"/>
      </w:pPr>
    </w:lvl>
    <w:lvl w:ilvl="1" w:tplc="96A4967C">
      <w:numFmt w:val="decimal"/>
      <w:lvlText w:val=""/>
      <w:lvlJc w:val="left"/>
    </w:lvl>
    <w:lvl w:ilvl="2" w:tplc="B55C1222">
      <w:numFmt w:val="decimal"/>
      <w:lvlText w:val=""/>
      <w:lvlJc w:val="left"/>
    </w:lvl>
    <w:lvl w:ilvl="3" w:tplc="099E4F9C">
      <w:numFmt w:val="decimal"/>
      <w:lvlText w:val=""/>
      <w:lvlJc w:val="left"/>
    </w:lvl>
    <w:lvl w:ilvl="4" w:tplc="69F43CC8">
      <w:numFmt w:val="decimal"/>
      <w:lvlText w:val=""/>
      <w:lvlJc w:val="left"/>
    </w:lvl>
    <w:lvl w:ilvl="5" w:tplc="2432D62A">
      <w:numFmt w:val="decimal"/>
      <w:lvlText w:val=""/>
      <w:lvlJc w:val="left"/>
    </w:lvl>
    <w:lvl w:ilvl="6" w:tplc="B21ED0F6">
      <w:numFmt w:val="decimal"/>
      <w:lvlText w:val=""/>
      <w:lvlJc w:val="left"/>
    </w:lvl>
    <w:lvl w:ilvl="7" w:tplc="18D036C6">
      <w:numFmt w:val="decimal"/>
      <w:lvlText w:val=""/>
      <w:lvlJc w:val="left"/>
    </w:lvl>
    <w:lvl w:ilvl="8" w:tplc="B09E0A12">
      <w:numFmt w:val="decimal"/>
      <w:lvlText w:val=""/>
      <w:lvlJc w:val="left"/>
    </w:lvl>
  </w:abstractNum>
  <w:abstractNum w:abstractNumId="1" w15:restartNumberingAfterBreak="0">
    <w:nsid w:val="412739A9"/>
    <w:multiLevelType w:val="hybridMultilevel"/>
    <w:tmpl w:val="8B1E9D00"/>
    <w:lvl w:ilvl="0" w:tplc="6FB63070">
      <w:start w:val="1"/>
      <w:numFmt w:val="bullet"/>
      <w:lvlText w:val="●"/>
      <w:lvlJc w:val="left"/>
      <w:pPr>
        <w:ind w:left="720" w:hanging="360"/>
      </w:pPr>
    </w:lvl>
    <w:lvl w:ilvl="1" w:tplc="97AC39F8">
      <w:start w:val="1"/>
      <w:numFmt w:val="bullet"/>
      <w:lvlText w:val="○"/>
      <w:lvlJc w:val="left"/>
      <w:pPr>
        <w:ind w:left="1440" w:hanging="360"/>
      </w:pPr>
    </w:lvl>
    <w:lvl w:ilvl="2" w:tplc="299EE100">
      <w:start w:val="1"/>
      <w:numFmt w:val="bullet"/>
      <w:lvlText w:val="■"/>
      <w:lvlJc w:val="left"/>
      <w:pPr>
        <w:ind w:left="2160" w:hanging="360"/>
      </w:pPr>
    </w:lvl>
    <w:lvl w:ilvl="3" w:tplc="446AEE28">
      <w:start w:val="1"/>
      <w:numFmt w:val="bullet"/>
      <w:lvlText w:val="●"/>
      <w:lvlJc w:val="left"/>
      <w:pPr>
        <w:ind w:left="2880" w:hanging="360"/>
      </w:pPr>
    </w:lvl>
    <w:lvl w:ilvl="4" w:tplc="06A2B41C">
      <w:start w:val="1"/>
      <w:numFmt w:val="bullet"/>
      <w:lvlText w:val="○"/>
      <w:lvlJc w:val="left"/>
      <w:pPr>
        <w:ind w:left="3600" w:hanging="360"/>
      </w:pPr>
    </w:lvl>
    <w:lvl w:ilvl="5" w:tplc="02DE3626">
      <w:start w:val="1"/>
      <w:numFmt w:val="bullet"/>
      <w:lvlText w:val="■"/>
      <w:lvlJc w:val="left"/>
      <w:pPr>
        <w:ind w:left="4320" w:hanging="360"/>
      </w:pPr>
    </w:lvl>
    <w:lvl w:ilvl="6" w:tplc="AF668CFE">
      <w:start w:val="1"/>
      <w:numFmt w:val="bullet"/>
      <w:lvlText w:val="●"/>
      <w:lvlJc w:val="left"/>
      <w:pPr>
        <w:ind w:left="5040" w:hanging="360"/>
      </w:pPr>
    </w:lvl>
    <w:lvl w:ilvl="7" w:tplc="7952AFF4">
      <w:start w:val="1"/>
      <w:numFmt w:val="bullet"/>
      <w:lvlText w:val="●"/>
      <w:lvlJc w:val="left"/>
      <w:pPr>
        <w:ind w:left="5760" w:hanging="360"/>
      </w:pPr>
    </w:lvl>
    <w:lvl w:ilvl="8" w:tplc="AADADDE0">
      <w:start w:val="1"/>
      <w:numFmt w:val="bullet"/>
      <w:lvlText w:val="●"/>
      <w:lvlJc w:val="left"/>
      <w:pPr>
        <w:ind w:left="6480" w:hanging="360"/>
      </w:pPr>
    </w:lvl>
  </w:abstractNum>
  <w:num w:numId="1" w16cid:durableId="1743259046">
    <w:abstractNumId w:val="1"/>
    <w:lvlOverride w:ilvl="0">
      <w:startOverride w:val="1"/>
    </w:lvlOverride>
  </w:num>
  <w:num w:numId="2" w16cid:durableId="6290923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A6"/>
    <w:rsid w:val="003A18A6"/>
    <w:rsid w:val="0041672D"/>
    <w:rsid w:val="0065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92945"/>
  <w15:docId w15:val="{D2EC31B1-47B0-491E-A1AE-0E641AAC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6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ottishelections.ac.uk/da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3922</Characters>
  <Application>Microsoft Office Word</Application>
  <DocSecurity>0</DocSecurity>
  <Lines>32</Lines>
  <Paragraphs>9</Paragraphs>
  <ScaleCrop>false</ScaleCrop>
  <Company>University of Edinburgh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Ailsa Henderson</cp:lastModifiedBy>
  <cp:revision>2</cp:revision>
  <dcterms:created xsi:type="dcterms:W3CDTF">2026-08-31T12:46:00Z</dcterms:created>
  <dcterms:modified xsi:type="dcterms:W3CDTF">2026-08-31T12:46:00Z</dcterms:modified>
</cp:coreProperties>
</file>